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08C04" w14:textId="462C9C7F" w:rsidR="004B3916" w:rsidRPr="003A3FAB" w:rsidRDefault="004B3916" w:rsidP="004B3916">
      <w:pPr>
        <w:pStyle w:val="BodyText"/>
        <w:rPr>
          <w:rFonts w:cstheme="minorHAnsi"/>
          <w:b/>
          <w:bCs/>
        </w:rPr>
      </w:pPr>
      <w:r w:rsidRPr="003A3FAB">
        <w:rPr>
          <w:rFonts w:cstheme="minorHAnsi"/>
          <w:b/>
          <w:bCs/>
        </w:rPr>
        <w:t xml:space="preserve">ATTACHMENT </w:t>
      </w:r>
      <w:r w:rsidR="006F78F7" w:rsidRPr="003A3FAB">
        <w:rPr>
          <w:rFonts w:cstheme="minorHAnsi"/>
          <w:b/>
          <w:bCs/>
        </w:rPr>
        <w:t>F</w:t>
      </w:r>
      <w:r w:rsidRPr="003A3FAB">
        <w:rPr>
          <w:rFonts w:cstheme="minorHAnsi"/>
          <w:b/>
          <w:bCs/>
        </w:rPr>
        <w:t xml:space="preserve"> – Steps for incident follow-up</w:t>
      </w:r>
    </w:p>
    <w:p w14:paraId="785843E6" w14:textId="77777777" w:rsidR="004B3916" w:rsidRPr="00885EB5" w:rsidRDefault="004B3916" w:rsidP="004B3916">
      <w:pPr>
        <w:pStyle w:val="BodyText"/>
        <w:rPr>
          <w:rFonts w:cstheme="minorHAnsi"/>
        </w:rPr>
      </w:pPr>
    </w:p>
    <w:p w14:paraId="6D31D593" w14:textId="31DA7014" w:rsidR="004B3916" w:rsidRPr="00885EB5" w:rsidRDefault="004B3916" w:rsidP="004B3916">
      <w:pPr>
        <w:pStyle w:val="BodyText"/>
        <w:rPr>
          <w:rFonts w:cstheme="minorHAnsi"/>
        </w:rPr>
      </w:pPr>
      <w:r w:rsidRPr="00885EB5">
        <w:rPr>
          <w:rFonts w:cstheme="minorHAnsi"/>
        </w:rPr>
        <w:t>These steps are to be followed by the licensed health</w:t>
      </w:r>
      <w:r w:rsidR="003A3FAB">
        <w:rPr>
          <w:rFonts w:cstheme="minorHAnsi"/>
        </w:rPr>
        <w:t>-</w:t>
      </w:r>
      <w:r w:rsidRPr="00885EB5">
        <w:rPr>
          <w:rFonts w:cstheme="minorHAnsi"/>
        </w:rPr>
        <w:t>care practitioner following an exposure incident.</w:t>
      </w:r>
    </w:p>
    <w:p w14:paraId="2BDB4E88" w14:textId="77777777" w:rsidR="004B3916" w:rsidRPr="00885EB5" w:rsidRDefault="004B3916" w:rsidP="004B3916">
      <w:pPr>
        <w:pStyle w:val="BodyText"/>
        <w:rPr>
          <w:rFonts w:cstheme="minorHAnsi"/>
        </w:rPr>
      </w:pPr>
    </w:p>
    <w:tbl>
      <w:tblPr>
        <w:tblW w:w="908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8640"/>
      </w:tblGrid>
      <w:tr w:rsidR="004B3916" w:rsidRPr="00885EB5" w14:paraId="0979C1F6" w14:textId="77777777" w:rsidTr="004B3916">
        <w:tc>
          <w:tcPr>
            <w:tcW w:w="445" w:type="dxa"/>
          </w:tcPr>
          <w:p w14:paraId="17608110" w14:textId="77777777" w:rsidR="004B3916" w:rsidRPr="00885EB5" w:rsidRDefault="004B3916" w:rsidP="002C78BE">
            <w:pPr>
              <w:ind w:left="1260"/>
              <w:rPr>
                <w:rFonts w:cstheme="minorHAnsi"/>
                <w:szCs w:val="24"/>
              </w:rPr>
            </w:pPr>
            <w:r w:rsidRPr="0025258F">
              <w:rPr>
                <w:rFonts w:cstheme="minorHAnsi"/>
                <w:szCs w:val="24"/>
              </w:rPr>
              <w:fldChar w:fldCharType="begin"/>
            </w:r>
            <w:r w:rsidRPr="00885EB5">
              <w:rPr>
                <w:rFonts w:cstheme="minorHAnsi"/>
                <w:szCs w:val="24"/>
              </w:rPr>
              <w:instrText>PRIVATE</w:instrText>
            </w:r>
            <w:r w:rsidRPr="0025258F">
              <w:rPr>
                <w:rFonts w:cstheme="minorHAnsi"/>
                <w:szCs w:val="24"/>
              </w:rPr>
              <w:fldChar w:fldCharType="end"/>
            </w:r>
            <w:r w:rsidRPr="00885EB5">
              <w:rPr>
                <w:rFonts w:cstheme="minorHAnsi"/>
                <w:szCs w:val="24"/>
              </w:rPr>
              <w:t>*</w:t>
            </w:r>
          </w:p>
        </w:tc>
        <w:tc>
          <w:tcPr>
            <w:tcW w:w="8640" w:type="dxa"/>
            <w:vAlign w:val="center"/>
          </w:tcPr>
          <w:p w14:paraId="6C440B7E" w14:textId="77777777" w:rsidR="004B3916" w:rsidRPr="00885EB5" w:rsidRDefault="004B3916" w:rsidP="002C78BE">
            <w:pPr>
              <w:ind w:left="360"/>
              <w:rPr>
                <w:rFonts w:cstheme="minorHAnsi"/>
                <w:szCs w:val="24"/>
              </w:rPr>
            </w:pPr>
            <w:r w:rsidRPr="00885EB5">
              <w:rPr>
                <w:rFonts w:cstheme="minorHAnsi"/>
                <w:szCs w:val="24"/>
              </w:rPr>
              <w:t>Document the routes of exposure and how the exposure occurred.</w:t>
            </w:r>
          </w:p>
        </w:tc>
      </w:tr>
      <w:tr w:rsidR="004B3916" w:rsidRPr="00885EB5" w14:paraId="7C3CA66D" w14:textId="77777777" w:rsidTr="004B3916">
        <w:tc>
          <w:tcPr>
            <w:tcW w:w="445" w:type="dxa"/>
          </w:tcPr>
          <w:p w14:paraId="1F129E1C" w14:textId="77777777" w:rsidR="004B3916" w:rsidRPr="00885EB5" w:rsidRDefault="004B3916" w:rsidP="002C78BE">
            <w:pPr>
              <w:ind w:left="1260"/>
              <w:rPr>
                <w:rFonts w:cstheme="minorHAnsi"/>
                <w:szCs w:val="24"/>
              </w:rPr>
            </w:pPr>
          </w:p>
        </w:tc>
        <w:tc>
          <w:tcPr>
            <w:tcW w:w="8640" w:type="dxa"/>
            <w:vAlign w:val="center"/>
          </w:tcPr>
          <w:p w14:paraId="2848644D" w14:textId="77777777" w:rsidR="004B3916" w:rsidRPr="00885EB5" w:rsidRDefault="004B3916" w:rsidP="002C78BE">
            <w:pPr>
              <w:ind w:left="360"/>
              <w:rPr>
                <w:rFonts w:cstheme="minorHAnsi"/>
                <w:szCs w:val="24"/>
              </w:rPr>
            </w:pPr>
            <w:r w:rsidRPr="00885EB5">
              <w:rPr>
                <w:rFonts w:cstheme="minorHAnsi"/>
                <w:szCs w:val="24"/>
              </w:rPr>
              <w:t>Identify and document the source individual (unless the employer can establish that identification is infeasible or prohibited by state or local law).</w:t>
            </w:r>
          </w:p>
        </w:tc>
      </w:tr>
      <w:tr w:rsidR="004B3916" w:rsidRPr="00885EB5" w14:paraId="7644635C" w14:textId="77777777" w:rsidTr="004B3916">
        <w:tc>
          <w:tcPr>
            <w:tcW w:w="445" w:type="dxa"/>
          </w:tcPr>
          <w:p w14:paraId="3DC9963D" w14:textId="77777777" w:rsidR="004B3916" w:rsidRPr="00885EB5" w:rsidRDefault="004B3916" w:rsidP="002C78BE">
            <w:pPr>
              <w:ind w:left="1260"/>
              <w:rPr>
                <w:rFonts w:cstheme="minorHAnsi"/>
                <w:szCs w:val="24"/>
              </w:rPr>
            </w:pPr>
            <w:r w:rsidRPr="00885EB5">
              <w:rPr>
                <w:rFonts w:cstheme="minorHAnsi"/>
                <w:szCs w:val="24"/>
              </w:rPr>
              <w:t>*</w:t>
            </w:r>
          </w:p>
        </w:tc>
        <w:tc>
          <w:tcPr>
            <w:tcW w:w="8640" w:type="dxa"/>
            <w:vAlign w:val="center"/>
          </w:tcPr>
          <w:p w14:paraId="799578B3" w14:textId="164AE81C" w:rsidR="004B3916" w:rsidRPr="00885EB5" w:rsidRDefault="004B3916" w:rsidP="002C78BE">
            <w:pPr>
              <w:ind w:left="360"/>
              <w:rPr>
                <w:rFonts w:cstheme="minorHAnsi"/>
                <w:szCs w:val="24"/>
              </w:rPr>
            </w:pPr>
            <w:r w:rsidRPr="00885EB5">
              <w:rPr>
                <w:rFonts w:cstheme="minorHAnsi"/>
                <w:szCs w:val="24"/>
              </w:rPr>
              <w:t>Obtain consent and plan to have the source individual tested as soon as possible to determine HIV, HCV, and HBV infectivity; document that the source individual's test results were conveyed to the employee's health</w:t>
            </w:r>
            <w:r w:rsidR="003A3FAB">
              <w:rPr>
                <w:rFonts w:cstheme="minorHAnsi"/>
                <w:szCs w:val="24"/>
              </w:rPr>
              <w:t>-</w:t>
            </w:r>
            <w:r w:rsidRPr="00885EB5">
              <w:rPr>
                <w:rFonts w:cstheme="minorHAnsi"/>
                <w:szCs w:val="24"/>
              </w:rPr>
              <w:t>care provider.</w:t>
            </w:r>
          </w:p>
        </w:tc>
      </w:tr>
      <w:tr w:rsidR="004B3916" w:rsidRPr="00885EB5" w14:paraId="412D3A1D" w14:textId="77777777" w:rsidTr="004B3916">
        <w:tc>
          <w:tcPr>
            <w:tcW w:w="445" w:type="dxa"/>
          </w:tcPr>
          <w:p w14:paraId="38A4B5D6" w14:textId="77777777" w:rsidR="004B3916" w:rsidRPr="00885EB5" w:rsidRDefault="004B3916" w:rsidP="002C78BE">
            <w:pPr>
              <w:ind w:left="1260"/>
              <w:rPr>
                <w:rFonts w:cstheme="minorHAnsi"/>
                <w:szCs w:val="24"/>
              </w:rPr>
            </w:pPr>
            <w:r w:rsidRPr="00885EB5">
              <w:rPr>
                <w:rFonts w:cstheme="minorHAnsi"/>
                <w:szCs w:val="24"/>
              </w:rPr>
              <w:t>*</w:t>
            </w:r>
          </w:p>
        </w:tc>
        <w:tc>
          <w:tcPr>
            <w:tcW w:w="8640" w:type="dxa"/>
            <w:vAlign w:val="center"/>
          </w:tcPr>
          <w:p w14:paraId="21E09E7F" w14:textId="77777777" w:rsidR="004B3916" w:rsidRPr="00885EB5" w:rsidRDefault="004B3916" w:rsidP="002C78BE">
            <w:pPr>
              <w:ind w:left="360"/>
              <w:rPr>
                <w:rFonts w:cstheme="minorHAnsi"/>
                <w:szCs w:val="24"/>
              </w:rPr>
            </w:pPr>
            <w:r w:rsidRPr="00885EB5">
              <w:rPr>
                <w:rFonts w:cstheme="minorHAnsi"/>
                <w:szCs w:val="24"/>
              </w:rPr>
              <w:t>If the source individual is already known to be HIV, HCV and/or HBV positive, new testing need not be performed.</w:t>
            </w:r>
          </w:p>
        </w:tc>
      </w:tr>
      <w:tr w:rsidR="004B3916" w:rsidRPr="00885EB5" w14:paraId="2532FDF9" w14:textId="77777777" w:rsidTr="004B3916">
        <w:tc>
          <w:tcPr>
            <w:tcW w:w="445" w:type="dxa"/>
          </w:tcPr>
          <w:p w14:paraId="7F1B4B6A" w14:textId="77777777" w:rsidR="004B3916" w:rsidRPr="00885EB5" w:rsidRDefault="004B3916" w:rsidP="002C78BE">
            <w:pPr>
              <w:ind w:left="1260"/>
              <w:rPr>
                <w:rFonts w:cstheme="minorHAnsi"/>
                <w:szCs w:val="24"/>
              </w:rPr>
            </w:pPr>
            <w:r w:rsidRPr="00885EB5">
              <w:rPr>
                <w:rFonts w:cstheme="minorHAnsi"/>
                <w:szCs w:val="24"/>
              </w:rPr>
              <w:t>*</w:t>
            </w:r>
          </w:p>
        </w:tc>
        <w:tc>
          <w:tcPr>
            <w:tcW w:w="8640" w:type="dxa"/>
            <w:vAlign w:val="center"/>
          </w:tcPr>
          <w:p w14:paraId="55291C64" w14:textId="52B739C9" w:rsidR="004B3916" w:rsidRPr="00885EB5" w:rsidRDefault="004B3916" w:rsidP="002C78BE">
            <w:pPr>
              <w:ind w:left="360"/>
              <w:rPr>
                <w:rFonts w:cstheme="minorHAnsi"/>
                <w:szCs w:val="24"/>
              </w:rPr>
            </w:pPr>
            <w:r w:rsidRPr="00885EB5">
              <w:rPr>
                <w:rFonts w:cstheme="minorHAnsi"/>
                <w:szCs w:val="24"/>
              </w:rPr>
              <w:t>Assure the exposed employee is provided with the source individual's test results and with information about applicable disclosure laws and regulations concerning the identity and infectious status of the source individual (e.g., laws protecting confidentiality).</w:t>
            </w:r>
          </w:p>
        </w:tc>
      </w:tr>
      <w:tr w:rsidR="004B3916" w:rsidRPr="00885EB5" w14:paraId="7E9D5315" w14:textId="77777777" w:rsidTr="004B3916">
        <w:tc>
          <w:tcPr>
            <w:tcW w:w="445" w:type="dxa"/>
          </w:tcPr>
          <w:p w14:paraId="30460489" w14:textId="77777777" w:rsidR="004B3916" w:rsidRPr="00885EB5" w:rsidRDefault="004B3916" w:rsidP="002C78BE">
            <w:pPr>
              <w:ind w:left="1260"/>
              <w:rPr>
                <w:rFonts w:cstheme="minorHAnsi"/>
                <w:szCs w:val="24"/>
              </w:rPr>
            </w:pPr>
            <w:r w:rsidRPr="00885EB5">
              <w:rPr>
                <w:rFonts w:cstheme="minorHAnsi"/>
                <w:szCs w:val="24"/>
              </w:rPr>
              <w:t>*</w:t>
            </w:r>
          </w:p>
        </w:tc>
        <w:tc>
          <w:tcPr>
            <w:tcW w:w="8640" w:type="dxa"/>
            <w:vAlign w:val="center"/>
          </w:tcPr>
          <w:p w14:paraId="0928D5C3" w14:textId="4057E3B8" w:rsidR="004B3916" w:rsidRPr="00885EB5" w:rsidRDefault="004B3916" w:rsidP="002C78BE">
            <w:pPr>
              <w:ind w:left="360"/>
              <w:rPr>
                <w:rFonts w:cstheme="minorHAnsi"/>
                <w:szCs w:val="24"/>
              </w:rPr>
            </w:pPr>
            <w:r w:rsidRPr="00885EB5">
              <w:rPr>
                <w:rFonts w:cstheme="minorHAnsi"/>
                <w:szCs w:val="24"/>
              </w:rPr>
              <w:t>After obtaining consent, collect exposed employee's blood as soon as feasible after exposure incident, and test blood for HBV and HIV serological status</w:t>
            </w:r>
            <w:r w:rsidR="003A3FAB">
              <w:rPr>
                <w:rFonts w:cstheme="minorHAnsi"/>
                <w:szCs w:val="24"/>
              </w:rPr>
              <w:t>.</w:t>
            </w:r>
          </w:p>
        </w:tc>
      </w:tr>
      <w:tr w:rsidR="004B3916" w:rsidRPr="00885EB5" w14:paraId="376105BE" w14:textId="77777777" w:rsidTr="004B3916">
        <w:tc>
          <w:tcPr>
            <w:tcW w:w="445" w:type="dxa"/>
          </w:tcPr>
          <w:p w14:paraId="74894423" w14:textId="77777777" w:rsidR="004B3916" w:rsidRPr="00885EB5" w:rsidRDefault="004B3916" w:rsidP="002C78BE">
            <w:pPr>
              <w:ind w:left="1260"/>
              <w:rPr>
                <w:rFonts w:cstheme="minorHAnsi"/>
                <w:szCs w:val="24"/>
              </w:rPr>
            </w:pPr>
            <w:r w:rsidRPr="00885EB5">
              <w:rPr>
                <w:rFonts w:cstheme="minorHAnsi"/>
                <w:szCs w:val="24"/>
              </w:rPr>
              <w:t>*</w:t>
            </w:r>
          </w:p>
        </w:tc>
        <w:tc>
          <w:tcPr>
            <w:tcW w:w="8640" w:type="dxa"/>
            <w:vAlign w:val="center"/>
          </w:tcPr>
          <w:p w14:paraId="5107E820" w14:textId="77777777" w:rsidR="004B3916" w:rsidRPr="00885EB5" w:rsidRDefault="004B3916" w:rsidP="002C78BE">
            <w:pPr>
              <w:ind w:left="360"/>
              <w:rPr>
                <w:rFonts w:cstheme="minorHAnsi"/>
                <w:szCs w:val="24"/>
              </w:rPr>
            </w:pPr>
            <w:r w:rsidRPr="00885EB5">
              <w:rPr>
                <w:rFonts w:cstheme="minorHAnsi"/>
                <w:szCs w:val="24"/>
              </w:rPr>
              <w:t>If the employee does not give consent for HIV serological testing during collection of blood for baseline testing, preserve the baseline blood sample for at least 90 days; if the exposed employee elects to have the baseline sample tested during this waiting period, perform testing as soon as feasible.</w:t>
            </w:r>
          </w:p>
        </w:tc>
      </w:tr>
      <w:tr w:rsidR="004B3916" w:rsidRPr="00885EB5" w14:paraId="1E4158A0" w14:textId="77777777" w:rsidTr="004B3916">
        <w:tc>
          <w:tcPr>
            <w:tcW w:w="445" w:type="dxa"/>
          </w:tcPr>
          <w:p w14:paraId="20261601" w14:textId="77777777" w:rsidR="004B3916" w:rsidRPr="00885EB5" w:rsidRDefault="004B3916" w:rsidP="002C78BE">
            <w:pPr>
              <w:ind w:left="1260"/>
              <w:rPr>
                <w:rFonts w:cstheme="minorHAnsi"/>
                <w:szCs w:val="24"/>
              </w:rPr>
            </w:pPr>
          </w:p>
        </w:tc>
        <w:tc>
          <w:tcPr>
            <w:tcW w:w="8640" w:type="dxa"/>
            <w:vAlign w:val="center"/>
          </w:tcPr>
          <w:p w14:paraId="7026DEE1" w14:textId="77777777" w:rsidR="004B3916" w:rsidRPr="00885EB5" w:rsidRDefault="004B3916" w:rsidP="002C78BE">
            <w:pPr>
              <w:ind w:left="360"/>
              <w:rPr>
                <w:rFonts w:cstheme="minorHAnsi"/>
                <w:szCs w:val="24"/>
              </w:rPr>
            </w:pPr>
            <w:r>
              <w:rPr>
                <w:rFonts w:cstheme="minorHAnsi"/>
                <w:szCs w:val="24"/>
              </w:rPr>
              <w:t>Provide post-exposure prophylaxis as medically indicated and recommended by the U.S. Public Health Service.</w:t>
            </w:r>
          </w:p>
        </w:tc>
      </w:tr>
      <w:tr w:rsidR="004B3916" w:rsidRPr="00885EB5" w14:paraId="4E511AE9" w14:textId="77777777" w:rsidTr="004B3916">
        <w:tc>
          <w:tcPr>
            <w:tcW w:w="445" w:type="dxa"/>
          </w:tcPr>
          <w:p w14:paraId="4BF1A168" w14:textId="77777777" w:rsidR="004B3916" w:rsidRPr="00885EB5" w:rsidRDefault="004B3916" w:rsidP="002C78BE">
            <w:pPr>
              <w:ind w:left="1260"/>
              <w:rPr>
                <w:rFonts w:cstheme="minorHAnsi"/>
                <w:szCs w:val="24"/>
              </w:rPr>
            </w:pPr>
          </w:p>
        </w:tc>
        <w:tc>
          <w:tcPr>
            <w:tcW w:w="8640" w:type="dxa"/>
            <w:vAlign w:val="center"/>
          </w:tcPr>
          <w:p w14:paraId="0FC9DDDD" w14:textId="77777777" w:rsidR="004B3916" w:rsidRDefault="004B3916" w:rsidP="002C78BE">
            <w:pPr>
              <w:ind w:left="360"/>
              <w:rPr>
                <w:rFonts w:cstheme="minorHAnsi"/>
                <w:szCs w:val="24"/>
              </w:rPr>
            </w:pPr>
            <w:r>
              <w:rPr>
                <w:rFonts w:cstheme="minorHAnsi"/>
                <w:szCs w:val="24"/>
              </w:rPr>
              <w:t>Provide medical counseling.</w:t>
            </w:r>
          </w:p>
        </w:tc>
      </w:tr>
      <w:tr w:rsidR="004B3916" w:rsidRPr="00885EB5" w14:paraId="73FCB9D0" w14:textId="77777777" w:rsidTr="004B3916">
        <w:tc>
          <w:tcPr>
            <w:tcW w:w="445" w:type="dxa"/>
          </w:tcPr>
          <w:p w14:paraId="18823C41" w14:textId="77777777" w:rsidR="004B3916" w:rsidRPr="00885EB5" w:rsidRDefault="004B3916" w:rsidP="002C78BE">
            <w:pPr>
              <w:ind w:left="1260"/>
              <w:rPr>
                <w:rFonts w:cstheme="minorHAnsi"/>
                <w:szCs w:val="24"/>
              </w:rPr>
            </w:pPr>
          </w:p>
        </w:tc>
        <w:tc>
          <w:tcPr>
            <w:tcW w:w="8640" w:type="dxa"/>
            <w:vAlign w:val="center"/>
          </w:tcPr>
          <w:p w14:paraId="574E5AC2" w14:textId="77777777" w:rsidR="004B3916" w:rsidRDefault="004B3916" w:rsidP="002C78BE">
            <w:pPr>
              <w:ind w:left="360"/>
              <w:rPr>
                <w:rFonts w:cstheme="minorHAnsi"/>
                <w:szCs w:val="24"/>
              </w:rPr>
            </w:pPr>
            <w:r>
              <w:rPr>
                <w:rFonts w:cstheme="minorHAnsi"/>
                <w:szCs w:val="24"/>
              </w:rPr>
              <w:t>Evaluate reported illnesses.</w:t>
            </w:r>
          </w:p>
        </w:tc>
      </w:tr>
    </w:tbl>
    <w:p w14:paraId="41714BA3" w14:textId="77777777" w:rsidR="008A6194" w:rsidRDefault="008A6194">
      <w:bookmarkStart w:id="0" w:name="_GoBack"/>
      <w:bookmarkEnd w:id="0"/>
    </w:p>
    <w:sectPr w:rsidR="008A61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DC420" w14:textId="77777777" w:rsidR="00A84C75" w:rsidRDefault="00A84C75" w:rsidP="00A84C75">
      <w:r>
        <w:separator/>
      </w:r>
    </w:p>
  </w:endnote>
  <w:endnote w:type="continuationSeparator" w:id="0">
    <w:p w14:paraId="3CD633EC" w14:textId="77777777" w:rsidR="00A84C75" w:rsidRDefault="00A84C75" w:rsidP="00A84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3A887" w14:textId="77777777" w:rsidR="00A84C75" w:rsidRDefault="00A84C75" w:rsidP="00A84C75">
    <w:pPr>
      <w:pStyle w:val="Footer"/>
      <w:jc w:val="right"/>
      <w:rPr>
        <w:rFonts w:ascii="Times New Roman" w:hAnsi="Times New Roman"/>
        <w:sz w:val="16"/>
        <w:szCs w:val="16"/>
        <w:lang w:bidi="ar-SA"/>
      </w:rPr>
    </w:pPr>
    <w:r>
      <w:rPr>
        <w:rFonts w:ascii="Times New Roman" w:hAnsi="Times New Roman"/>
        <w:sz w:val="16"/>
        <w:szCs w:val="16"/>
      </w:rPr>
      <w:t>Effective date: 1/7/2021</w:t>
    </w:r>
  </w:p>
  <w:p w14:paraId="14A77D73" w14:textId="77777777" w:rsidR="00A84C75" w:rsidRDefault="00A84C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6C985" w14:textId="77777777" w:rsidR="00A84C75" w:rsidRDefault="00A84C75" w:rsidP="00A84C75">
      <w:r>
        <w:separator/>
      </w:r>
    </w:p>
  </w:footnote>
  <w:footnote w:type="continuationSeparator" w:id="0">
    <w:p w14:paraId="299D40D8" w14:textId="77777777" w:rsidR="00A84C75" w:rsidRDefault="00A84C75" w:rsidP="00A84C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16"/>
    <w:rsid w:val="003A3FAB"/>
    <w:rsid w:val="004B3916"/>
    <w:rsid w:val="006F78F7"/>
    <w:rsid w:val="008A6194"/>
    <w:rsid w:val="00946C21"/>
    <w:rsid w:val="00A84C75"/>
    <w:rsid w:val="00B83214"/>
    <w:rsid w:val="00E12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6EC6A"/>
  <w15:chartTrackingRefBased/>
  <w15:docId w15:val="{35935110-04B4-43AE-9217-8988F0917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3916"/>
    <w:pPr>
      <w:widowControl w:val="0"/>
      <w:autoSpaceDE w:val="0"/>
      <w:autoSpaceDN w:val="0"/>
      <w:spacing w:after="0" w:line="240" w:lineRule="auto"/>
    </w:pPr>
    <w:rPr>
      <w:rFonts w:eastAsia="Times New Roman" w:cs="Times New Roman"/>
      <w:sz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B3916"/>
    <w:rPr>
      <w:szCs w:val="24"/>
    </w:rPr>
  </w:style>
  <w:style w:type="character" w:customStyle="1" w:styleId="BodyTextChar">
    <w:name w:val="Body Text Char"/>
    <w:basedOn w:val="DefaultParagraphFont"/>
    <w:link w:val="BodyText"/>
    <w:uiPriority w:val="1"/>
    <w:rsid w:val="004B3916"/>
    <w:rPr>
      <w:rFonts w:eastAsia="Times New Roman" w:cs="Times New Roman"/>
      <w:sz w:val="24"/>
      <w:szCs w:val="24"/>
      <w:lang w:bidi="en-US"/>
    </w:rPr>
  </w:style>
  <w:style w:type="paragraph" w:styleId="Header">
    <w:name w:val="header"/>
    <w:basedOn w:val="Normal"/>
    <w:link w:val="HeaderChar"/>
    <w:uiPriority w:val="99"/>
    <w:unhideWhenUsed/>
    <w:rsid w:val="00A84C75"/>
    <w:pPr>
      <w:tabs>
        <w:tab w:val="center" w:pos="4680"/>
        <w:tab w:val="right" w:pos="9360"/>
      </w:tabs>
    </w:pPr>
  </w:style>
  <w:style w:type="character" w:customStyle="1" w:styleId="HeaderChar">
    <w:name w:val="Header Char"/>
    <w:basedOn w:val="DefaultParagraphFont"/>
    <w:link w:val="Header"/>
    <w:uiPriority w:val="99"/>
    <w:rsid w:val="00A84C75"/>
    <w:rPr>
      <w:rFonts w:eastAsia="Times New Roman" w:cs="Times New Roman"/>
      <w:sz w:val="24"/>
      <w:lang w:bidi="en-US"/>
    </w:rPr>
  </w:style>
  <w:style w:type="paragraph" w:styleId="Footer">
    <w:name w:val="footer"/>
    <w:basedOn w:val="Normal"/>
    <w:link w:val="FooterChar"/>
    <w:uiPriority w:val="99"/>
    <w:unhideWhenUsed/>
    <w:rsid w:val="00A84C75"/>
    <w:pPr>
      <w:tabs>
        <w:tab w:val="center" w:pos="4680"/>
        <w:tab w:val="right" w:pos="9360"/>
      </w:tabs>
    </w:pPr>
  </w:style>
  <w:style w:type="character" w:customStyle="1" w:styleId="FooterChar">
    <w:name w:val="Footer Char"/>
    <w:basedOn w:val="DefaultParagraphFont"/>
    <w:link w:val="Footer"/>
    <w:uiPriority w:val="99"/>
    <w:rsid w:val="00A84C75"/>
    <w:rPr>
      <w:rFonts w:eastAsia="Times New Roman" w:cs="Times New Roman"/>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15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6ADAF3-8AF8-4B5E-8F00-156201625619}">
  <ds:schemaRefs>
    <ds:schemaRef ds:uri="http://schemas.microsoft.com/sharepoint/v3/contenttype/forms"/>
  </ds:schemaRefs>
</ds:datastoreItem>
</file>

<file path=customXml/itemProps2.xml><?xml version="1.0" encoding="utf-8"?>
<ds:datastoreItem xmlns:ds="http://schemas.openxmlformats.org/officeDocument/2006/customXml" ds:itemID="{5B12C859-303E-4469-A8B5-D86A501046BD}">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http://purl.org/dc/terms/"/>
    <ds:schemaRef ds:uri="http://schemas.microsoft.com/office/infopath/2007/PartnerControls"/>
    <ds:schemaRef ds:uri="fe380dd8-c0d7-4d31-8e29-7bc020f18022"/>
    <ds:schemaRef ds:uri="4870351d-1527-4269-9870-a0a24ad46c57"/>
  </ds:schemaRefs>
</ds:datastoreItem>
</file>

<file path=customXml/itemProps3.xml><?xml version="1.0" encoding="utf-8"?>
<ds:datastoreItem xmlns:ds="http://schemas.openxmlformats.org/officeDocument/2006/customXml" ds:itemID="{3794C713-8198-49BF-8F31-E217BC79A482}"/>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Mattimoe, Laura</dc:creator>
  <cp:keywords/>
  <dc:description/>
  <cp:lastModifiedBy>Rob Powell</cp:lastModifiedBy>
  <cp:revision>3</cp:revision>
  <dcterms:created xsi:type="dcterms:W3CDTF">2021-01-07T13:52:00Z</dcterms:created>
  <dcterms:modified xsi:type="dcterms:W3CDTF">2021-01-07T17:03:00Z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